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81C0F8" w14:textId="145A1AE8" w:rsidR="00A61845" w:rsidRPr="00A30E5A" w:rsidRDefault="00A61845" w:rsidP="00953CEC">
      <w:pPr>
        <w:pStyle w:val="Ttulo3"/>
        <w:spacing w:before="0" w:after="120" w:line="276" w:lineRule="auto"/>
        <w:jc w:val="both"/>
        <w:rPr>
          <w:rFonts w:eastAsia="Google Sans"/>
          <w:color w:val="1F1F1F"/>
        </w:rPr>
      </w:pPr>
      <w:r w:rsidRPr="00A30E5A">
        <w:rPr>
          <w:rFonts w:eastAsia="Google Sans"/>
          <w:color w:val="1F1F1F"/>
        </w:rPr>
        <w:t xml:space="preserve">Tablero de mando (Dashboard) de la </w:t>
      </w:r>
      <w:r w:rsidRPr="00A30E5A">
        <w:rPr>
          <w:rFonts w:eastAsia="Google Sans"/>
          <w:color w:val="1F1F1F"/>
        </w:rPr>
        <w:t xml:space="preserve">Matriz de residuos </w:t>
      </w:r>
      <w:r w:rsidRPr="00A30E5A">
        <w:rPr>
          <w:rFonts w:eastAsia="Google Sans"/>
          <w:color w:val="1F1F1F"/>
        </w:rPr>
        <w:t>sólidos</w:t>
      </w:r>
      <w:r w:rsidRPr="00A30E5A">
        <w:rPr>
          <w:rFonts w:eastAsia="Google Sans"/>
          <w:color w:val="1F1F1F"/>
        </w:rPr>
        <w:t xml:space="preserve"> del departamento de Risaralda</w:t>
      </w:r>
    </w:p>
    <w:p w14:paraId="508D4395" w14:textId="77777777" w:rsidR="00A61845" w:rsidRDefault="00A61845" w:rsidP="00953CEC">
      <w:pPr>
        <w:pStyle w:val="Ttulo3"/>
        <w:spacing w:before="0" w:after="120" w:line="276" w:lineRule="auto"/>
        <w:jc w:val="both"/>
        <w:rPr>
          <w:rFonts w:eastAsia="Google Sans"/>
          <w:color w:val="1F1F1F"/>
        </w:rPr>
      </w:pPr>
    </w:p>
    <w:p w14:paraId="29ED7A4B" w14:textId="3A7FA13C" w:rsidR="00953CEC" w:rsidRDefault="00953CEC" w:rsidP="00953CEC">
      <w:pPr>
        <w:spacing w:line="276" w:lineRule="auto"/>
      </w:pPr>
      <w:r>
        <w:t>Autor:</w:t>
      </w:r>
    </w:p>
    <w:p w14:paraId="753F17D6" w14:textId="77777777" w:rsidR="00953CEC" w:rsidRDefault="00953CEC" w:rsidP="00953CEC">
      <w:pPr>
        <w:spacing w:line="276" w:lineRule="auto"/>
      </w:pPr>
    </w:p>
    <w:p w14:paraId="73197A02" w14:textId="1D7C91CF" w:rsidR="00953CEC" w:rsidRPr="00953CEC" w:rsidRDefault="00953CEC" w:rsidP="00953CEC">
      <w:pPr>
        <w:spacing w:line="276" w:lineRule="auto"/>
        <w:rPr>
          <w:b/>
          <w:bCs/>
        </w:rPr>
      </w:pPr>
      <w:r w:rsidRPr="00953CEC">
        <w:rPr>
          <w:b/>
          <w:bCs/>
        </w:rPr>
        <w:t>Ennuer Alexander Giraldo Valdes</w:t>
      </w:r>
    </w:p>
    <w:p w14:paraId="12857476" w14:textId="6A03590F" w:rsidR="00953CEC" w:rsidRPr="00953CEC" w:rsidRDefault="00953CEC" w:rsidP="00953CEC">
      <w:pPr>
        <w:spacing w:line="276" w:lineRule="auto"/>
      </w:pPr>
      <w:r w:rsidRPr="00953CEC">
        <w:t>ID-CPS-57 del 24 de septiembre de 2025</w:t>
      </w:r>
    </w:p>
    <w:p w14:paraId="470ED7CB" w14:textId="77777777" w:rsidR="00953CEC" w:rsidRDefault="00953CEC" w:rsidP="00953CEC">
      <w:pPr>
        <w:spacing w:line="276" w:lineRule="auto"/>
      </w:pPr>
    </w:p>
    <w:p w14:paraId="0F21E4AB" w14:textId="77777777" w:rsidR="00953CEC" w:rsidRPr="00953CEC" w:rsidRDefault="00953CEC" w:rsidP="00953CEC">
      <w:pPr>
        <w:spacing w:line="276" w:lineRule="auto"/>
      </w:pPr>
    </w:p>
    <w:p w14:paraId="2E634CBA" w14:textId="076F10E8" w:rsidR="00A61845" w:rsidRPr="00A30E5A" w:rsidRDefault="00A61845" w:rsidP="00953CEC">
      <w:pPr>
        <w:spacing w:line="276" w:lineRule="auto"/>
        <w:jc w:val="both"/>
      </w:pPr>
      <w:r w:rsidRPr="00A30E5A">
        <w:t xml:space="preserve">El presente documento plantea exponer la plataforma generada en el proceso del diseño de la estrategia de gestión integral de residuos sólidos, con énfasis en economía circular y ciudades sostenibles para el departamento de Risaralda, es así como </w:t>
      </w:r>
      <w:r w:rsidR="00EC0446" w:rsidRPr="00A30E5A">
        <w:t>en la consolidación de una línea base que permita consolidar un punto de partida para el desarrollo de este proceso.</w:t>
      </w:r>
    </w:p>
    <w:p w14:paraId="4C634BA8" w14:textId="77777777" w:rsidR="00EC0446" w:rsidRPr="00A30E5A" w:rsidRDefault="00EC0446" w:rsidP="00953CEC">
      <w:pPr>
        <w:spacing w:line="276" w:lineRule="auto"/>
        <w:jc w:val="both"/>
      </w:pPr>
    </w:p>
    <w:p w14:paraId="5AB8A7DD" w14:textId="6DBE93F4" w:rsidR="00EC0446" w:rsidRPr="00A30E5A" w:rsidRDefault="00EC0446" w:rsidP="00953CEC">
      <w:pPr>
        <w:spacing w:line="276" w:lineRule="auto"/>
        <w:jc w:val="both"/>
      </w:pPr>
      <w:r w:rsidRPr="00A30E5A">
        <w:t xml:space="preserve">En este marco se definirá la importancia de los tableros de mando en la toma de decisiones, la descripción metodológica de como se llego al desarrollo del mismo y por ultimo una lectura de algunos de los indicadores que la herramienta genera y que puede aportar de manera presente y futura al departamento y los municipios en torno al manejo y control de los residuos solidos en el territorio. </w:t>
      </w:r>
    </w:p>
    <w:p w14:paraId="68551AA3" w14:textId="77777777" w:rsidR="00EC0446" w:rsidRPr="00A30E5A" w:rsidRDefault="00EC0446" w:rsidP="00953CEC">
      <w:p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  <w:rPr>
          <w:rFonts w:eastAsia="Google Sans Text"/>
          <w:color w:val="1F1F1F"/>
        </w:rPr>
      </w:pPr>
    </w:p>
    <w:p w14:paraId="00000004" w14:textId="26DF8745" w:rsidR="003533E3" w:rsidRPr="00A30E5A" w:rsidRDefault="00EC0446" w:rsidP="00953CEC">
      <w:p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  <w:rPr>
          <w:rFonts w:eastAsia="Google Sans Text"/>
          <w:color w:val="1F1F1F"/>
        </w:rPr>
      </w:pPr>
      <w:r w:rsidRPr="00A30E5A">
        <w:rPr>
          <w:rFonts w:eastAsia="Google Sans Text"/>
          <w:color w:val="1F1F1F"/>
        </w:rPr>
        <w:t>E</w:t>
      </w:r>
      <w:r w:rsidR="00000000" w:rsidRPr="00A30E5A">
        <w:rPr>
          <w:rFonts w:eastAsia="Google Sans Text"/>
          <w:color w:val="1F1F1F"/>
        </w:rPr>
        <w:t>n la administración moderna, la capacidad de procesar grandes volúmenes de información es crítica. Un dashboard o tablero de control no es simplemente una "gráfica bonita"; es una herramienta de usabilidad gerencial que sintetiza bases de datos complejas en indicadores visuales intuitivos.</w:t>
      </w:r>
    </w:p>
    <w:p w14:paraId="00000005" w14:textId="77777777" w:rsidR="003533E3" w:rsidRPr="00A30E5A" w:rsidRDefault="00000000" w:rsidP="00953CEC">
      <w:p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  <w:rPr>
          <w:rFonts w:eastAsia="Google Sans Text"/>
          <w:color w:val="1F1F1F"/>
        </w:rPr>
      </w:pPr>
      <w:r w:rsidRPr="00A30E5A">
        <w:rPr>
          <w:rFonts w:eastAsia="Google Sans Text"/>
          <w:color w:val="1F1F1F"/>
        </w:rPr>
        <w:t>Para la Gobernación de Risaralda, pasar de extensas hojas de cálculo a un entorno dinámico en Looker Studio significa democratizar el acceso a la información técnica. Esta tecnología permite a los tomadores de decisiones (Alcaldes, Secretarios, Gerentes de ESP) interactuar con los datos, filtrar por municipio y detectar anomalías en segundos, transformando cifras estáticas en una narrativa clara para la acción gubernamental inmediata.</w:t>
      </w:r>
    </w:p>
    <w:p w14:paraId="25F33694" w14:textId="77777777" w:rsidR="00EC0446" w:rsidRPr="00A30E5A" w:rsidRDefault="00EC0446" w:rsidP="00953CEC">
      <w:p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  <w:rPr>
          <w:rFonts w:eastAsia="Google Sans Text"/>
          <w:color w:val="1F1F1F"/>
        </w:rPr>
      </w:pPr>
    </w:p>
    <w:p w14:paraId="4B0F0745" w14:textId="2ECBC36D" w:rsidR="00EC0446" w:rsidRPr="00A30E5A" w:rsidRDefault="00EC0446" w:rsidP="00953CEC">
      <w:p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  <w:rPr>
          <w:rFonts w:eastAsia="Google Sans Text"/>
          <w:color w:val="1F1F1F"/>
        </w:rPr>
      </w:pPr>
      <w:r w:rsidRPr="00A30E5A">
        <w:rPr>
          <w:rFonts w:eastAsia="Google Sans Text"/>
          <w:color w:val="1F1F1F"/>
        </w:rPr>
        <w:t>Para la creación del dashboard se plantea la siguiente metodología general:</w:t>
      </w:r>
    </w:p>
    <w:p w14:paraId="6FDC25B7" w14:textId="61BB337C" w:rsidR="00EC0446" w:rsidRPr="00A30E5A" w:rsidRDefault="00EC0446" w:rsidP="00953CEC">
      <w:pPr>
        <w:pStyle w:val="Prrafodelista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before="120" w:after="240" w:line="276" w:lineRule="auto"/>
        <w:jc w:val="both"/>
        <w:rPr>
          <w:rFonts w:eastAsia="Google Sans Text"/>
          <w:b/>
          <w:bCs/>
          <w:color w:val="1F1F1F"/>
        </w:rPr>
      </w:pPr>
      <w:r w:rsidRPr="00A30E5A">
        <w:rPr>
          <w:rFonts w:eastAsia="Google Sans Text"/>
          <w:b/>
          <w:bCs/>
          <w:color w:val="1F1F1F"/>
        </w:rPr>
        <w:t>Metodología General para la Creación de un Dashboard en Looker</w:t>
      </w:r>
    </w:p>
    <w:p w14:paraId="6B9FDD75" w14:textId="77777777" w:rsidR="00EC0446" w:rsidRPr="00570129" w:rsidRDefault="00EC0446" w:rsidP="00953CEC">
      <w:pPr>
        <w:pBdr>
          <w:top w:val="nil"/>
          <w:left w:val="nil"/>
          <w:bottom w:val="nil"/>
          <w:right w:val="nil"/>
          <w:between w:val="nil"/>
        </w:pBdr>
        <w:spacing w:before="120" w:after="240" w:line="276" w:lineRule="auto"/>
        <w:jc w:val="both"/>
        <w:rPr>
          <w:rFonts w:eastAsia="Google Sans Text"/>
          <w:color w:val="1F1F1F"/>
        </w:rPr>
      </w:pPr>
      <w:r w:rsidRPr="00570129">
        <w:rPr>
          <w:rFonts w:eastAsia="Google Sans Text"/>
          <w:color w:val="1F1F1F"/>
        </w:rPr>
        <w:t>El proceso conceptual se divide en cuatro fases lógicas que transforman datos brutos en información visual:</w:t>
      </w:r>
    </w:p>
    <w:p w14:paraId="6EFFB4A2" w14:textId="538E5FD4" w:rsidR="00EC0446" w:rsidRPr="00570129" w:rsidRDefault="00EC0446" w:rsidP="00953CEC">
      <w:pPr>
        <w:pBdr>
          <w:top w:val="nil"/>
          <w:left w:val="nil"/>
          <w:bottom w:val="nil"/>
          <w:right w:val="nil"/>
          <w:between w:val="nil"/>
        </w:pBdr>
        <w:spacing w:before="120" w:after="240" w:line="276" w:lineRule="auto"/>
        <w:jc w:val="both"/>
        <w:rPr>
          <w:rFonts w:eastAsia="Google Sans Text"/>
          <w:b/>
          <w:bCs/>
          <w:color w:val="1F1F1F"/>
        </w:rPr>
      </w:pPr>
      <w:r w:rsidRPr="00570129">
        <w:rPr>
          <w:rFonts w:eastAsia="Google Sans Text"/>
          <w:b/>
          <w:bCs/>
          <w:color w:val="1F1F1F"/>
        </w:rPr>
        <w:t>1.</w:t>
      </w:r>
      <w:r w:rsidR="00A30E5A" w:rsidRPr="00A30E5A">
        <w:rPr>
          <w:rFonts w:eastAsia="Google Sans Text"/>
          <w:b/>
          <w:bCs/>
          <w:color w:val="1F1F1F"/>
        </w:rPr>
        <w:t>1</w:t>
      </w:r>
      <w:r w:rsidRPr="00570129">
        <w:rPr>
          <w:rFonts w:eastAsia="Google Sans Text"/>
          <w:b/>
          <w:bCs/>
          <w:color w:val="1F1F1F"/>
        </w:rPr>
        <w:t xml:space="preserve"> Estandarización del Origen (La Base de Datos)</w:t>
      </w:r>
    </w:p>
    <w:p w14:paraId="62C190AD" w14:textId="77777777" w:rsidR="00EC0446" w:rsidRPr="00570129" w:rsidRDefault="00EC0446" w:rsidP="00953CEC">
      <w:pPr>
        <w:pBdr>
          <w:top w:val="nil"/>
          <w:left w:val="nil"/>
          <w:bottom w:val="nil"/>
          <w:right w:val="nil"/>
          <w:between w:val="nil"/>
        </w:pBdr>
        <w:spacing w:before="120" w:after="240" w:line="276" w:lineRule="auto"/>
        <w:jc w:val="both"/>
        <w:rPr>
          <w:rFonts w:eastAsia="Google Sans Text"/>
          <w:color w:val="1F1F1F"/>
        </w:rPr>
      </w:pPr>
      <w:r w:rsidRPr="00570129">
        <w:rPr>
          <w:rFonts w:eastAsia="Google Sans Text"/>
          <w:color w:val="1F1F1F"/>
        </w:rPr>
        <w:t>Antes de visualizar, la hoja de cálculo debe tratarse como una base de datos estructurada.</w:t>
      </w:r>
    </w:p>
    <w:p w14:paraId="36D8375B" w14:textId="0BC6F2FE" w:rsidR="00EC0446" w:rsidRPr="00570129" w:rsidRDefault="00EC0446" w:rsidP="00953CEC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before="120" w:after="240" w:line="276" w:lineRule="auto"/>
        <w:jc w:val="both"/>
        <w:rPr>
          <w:rFonts w:eastAsia="Google Sans Text"/>
          <w:color w:val="1F1F1F"/>
        </w:rPr>
      </w:pPr>
      <w:r w:rsidRPr="00570129">
        <w:rPr>
          <w:rFonts w:eastAsia="Google Sans Text"/>
          <w:b/>
          <w:bCs/>
          <w:color w:val="1F1F1F"/>
        </w:rPr>
        <w:lastRenderedPageBreak/>
        <w:t>Lógica tabular:</w:t>
      </w:r>
      <w:r w:rsidRPr="00570129">
        <w:rPr>
          <w:rFonts w:eastAsia="Google Sans Text"/>
          <w:color w:val="1F1F1F"/>
        </w:rPr>
        <w:t xml:space="preserve"> Cada columna representa una variable única (ej. "</w:t>
      </w:r>
      <w:r w:rsidR="00953CEC">
        <w:rPr>
          <w:rFonts w:eastAsia="Google Sans Text"/>
          <w:color w:val="1F1F1F"/>
        </w:rPr>
        <w:t>ECA</w:t>
      </w:r>
      <w:r w:rsidRPr="00570129">
        <w:rPr>
          <w:rFonts w:eastAsia="Google Sans Text"/>
          <w:color w:val="1F1F1F"/>
        </w:rPr>
        <w:t>") y cada fila un registro único (ej. "</w:t>
      </w:r>
      <w:r w:rsidR="00953CEC">
        <w:rPr>
          <w:rFonts w:eastAsia="Google Sans Text"/>
          <w:color w:val="1F1F1F"/>
        </w:rPr>
        <w:t>Si/No</w:t>
      </w:r>
      <w:r w:rsidRPr="00570129">
        <w:rPr>
          <w:rFonts w:eastAsia="Google Sans Text"/>
          <w:color w:val="1F1F1F"/>
        </w:rPr>
        <w:t>").</w:t>
      </w:r>
    </w:p>
    <w:p w14:paraId="1FD0773A" w14:textId="77777777" w:rsidR="00EC0446" w:rsidRPr="00A30E5A" w:rsidRDefault="00EC0446" w:rsidP="00953CEC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before="120" w:after="240" w:line="276" w:lineRule="auto"/>
        <w:jc w:val="both"/>
        <w:rPr>
          <w:rFonts w:eastAsia="Google Sans Text"/>
          <w:color w:val="1F1F1F"/>
        </w:rPr>
      </w:pPr>
      <w:r w:rsidRPr="00570129">
        <w:rPr>
          <w:rFonts w:eastAsia="Google Sans Text"/>
          <w:b/>
          <w:bCs/>
          <w:color w:val="1F1F1F"/>
        </w:rPr>
        <w:t>Limpieza:</w:t>
      </w:r>
      <w:r w:rsidRPr="00570129">
        <w:rPr>
          <w:rFonts w:eastAsia="Google Sans Text"/>
          <w:color w:val="1F1F1F"/>
        </w:rPr>
        <w:t xml:space="preserve"> Los datos deben ser uniformes (sin celdas combinadas ni formatos mixtos en una misma columna) para que el sistema pueda interpretarlos correctamente.</w:t>
      </w:r>
    </w:p>
    <w:p w14:paraId="044C7F4F" w14:textId="77777777" w:rsidR="00EC0446" w:rsidRPr="00A30E5A" w:rsidRDefault="00EC0446" w:rsidP="00953CEC">
      <w:pPr>
        <w:keepNext/>
        <w:pBdr>
          <w:top w:val="nil"/>
          <w:left w:val="nil"/>
          <w:bottom w:val="nil"/>
          <w:right w:val="nil"/>
          <w:between w:val="nil"/>
        </w:pBdr>
        <w:spacing w:before="120" w:after="240" w:line="276" w:lineRule="auto"/>
        <w:jc w:val="both"/>
      </w:pPr>
      <w:r w:rsidRPr="00A30E5A">
        <w:rPr>
          <w:noProof/>
        </w:rPr>
        <w:drawing>
          <wp:inline distT="0" distB="0" distL="0" distR="0" wp14:anchorId="211ECF94" wp14:editId="54375E3A">
            <wp:extent cx="5943600" cy="194437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4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16C1B" w14:textId="63DBB406" w:rsidR="00EC0446" w:rsidRPr="00570129" w:rsidRDefault="00EC0446" w:rsidP="00953CEC">
      <w:pPr>
        <w:pStyle w:val="Descripcin"/>
        <w:spacing w:line="276" w:lineRule="auto"/>
        <w:jc w:val="both"/>
        <w:rPr>
          <w:rFonts w:eastAsia="Google Sans Text"/>
          <w:color w:val="1F1F1F"/>
        </w:rPr>
      </w:pPr>
      <w:r w:rsidRPr="00A30E5A">
        <w:t xml:space="preserve">Ilustración </w:t>
      </w:r>
      <w:r w:rsidRPr="00A30E5A">
        <w:fldChar w:fldCharType="begin"/>
      </w:r>
      <w:r w:rsidRPr="00A30E5A">
        <w:instrText xml:space="preserve"> SEQ Ilustración \* ARABIC </w:instrText>
      </w:r>
      <w:r w:rsidRPr="00A30E5A">
        <w:fldChar w:fldCharType="separate"/>
      </w:r>
      <w:r w:rsidR="00350CE2" w:rsidRPr="00A30E5A">
        <w:rPr>
          <w:noProof/>
        </w:rPr>
        <w:t>1</w:t>
      </w:r>
      <w:r w:rsidRPr="00A30E5A">
        <w:fldChar w:fldCharType="end"/>
      </w:r>
      <w:r w:rsidRPr="00A30E5A">
        <w:t xml:space="preserve"> Muestra grafica de la tabla de línea base de los datos compilados</w:t>
      </w:r>
    </w:p>
    <w:p w14:paraId="1B7AA565" w14:textId="3426E4AF" w:rsidR="00EC0446" w:rsidRPr="00570129" w:rsidRDefault="00A30E5A" w:rsidP="00953CEC">
      <w:pPr>
        <w:pBdr>
          <w:top w:val="nil"/>
          <w:left w:val="nil"/>
          <w:bottom w:val="nil"/>
          <w:right w:val="nil"/>
          <w:between w:val="nil"/>
        </w:pBdr>
        <w:spacing w:before="120" w:after="240" w:line="276" w:lineRule="auto"/>
        <w:jc w:val="both"/>
        <w:rPr>
          <w:rFonts w:eastAsia="Google Sans Text"/>
          <w:b/>
          <w:bCs/>
          <w:color w:val="1F1F1F"/>
        </w:rPr>
      </w:pPr>
      <w:r w:rsidRPr="00A30E5A">
        <w:rPr>
          <w:rFonts w:eastAsia="Google Sans Text"/>
          <w:b/>
          <w:bCs/>
          <w:color w:val="1F1F1F"/>
        </w:rPr>
        <w:t>1.</w:t>
      </w:r>
      <w:r w:rsidR="00EC0446" w:rsidRPr="00570129">
        <w:rPr>
          <w:rFonts w:eastAsia="Google Sans Text"/>
          <w:b/>
          <w:bCs/>
          <w:color w:val="1F1F1F"/>
        </w:rPr>
        <w:t>2. Modelado de Datos (La Interpretación)</w:t>
      </w:r>
    </w:p>
    <w:p w14:paraId="4B27C572" w14:textId="77777777" w:rsidR="00EC0446" w:rsidRPr="00570129" w:rsidRDefault="00EC0446" w:rsidP="00953CEC">
      <w:pPr>
        <w:pBdr>
          <w:top w:val="nil"/>
          <w:left w:val="nil"/>
          <w:bottom w:val="nil"/>
          <w:right w:val="nil"/>
          <w:between w:val="nil"/>
        </w:pBdr>
        <w:spacing w:before="120" w:after="240" w:line="276" w:lineRule="auto"/>
        <w:jc w:val="both"/>
        <w:rPr>
          <w:rFonts w:eastAsia="Google Sans Text"/>
          <w:color w:val="1F1F1F"/>
        </w:rPr>
      </w:pPr>
      <w:r w:rsidRPr="00570129">
        <w:rPr>
          <w:rFonts w:eastAsia="Google Sans Text"/>
          <w:color w:val="1F1F1F"/>
        </w:rPr>
        <w:t>Esta fase define cómo la plataforma debe leer la información conectada.</w:t>
      </w:r>
    </w:p>
    <w:p w14:paraId="4FCE7144" w14:textId="77777777" w:rsidR="00EC0446" w:rsidRPr="00570129" w:rsidRDefault="00EC0446" w:rsidP="00953CEC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before="120" w:after="240" w:line="276" w:lineRule="auto"/>
        <w:jc w:val="both"/>
        <w:rPr>
          <w:rFonts w:eastAsia="Google Sans Text"/>
          <w:color w:val="1F1F1F"/>
        </w:rPr>
      </w:pPr>
      <w:r w:rsidRPr="00570129">
        <w:rPr>
          <w:rFonts w:eastAsia="Google Sans Text"/>
          <w:b/>
          <w:bCs/>
          <w:color w:val="1F1F1F"/>
        </w:rPr>
        <w:t>Conexión:</w:t>
      </w:r>
      <w:r w:rsidRPr="00570129">
        <w:rPr>
          <w:rFonts w:eastAsia="Google Sans Text"/>
          <w:color w:val="1F1F1F"/>
        </w:rPr>
        <w:t xml:space="preserve"> Se establece el vínculo técnico entre la hoja de cálculo y Looker.</w:t>
      </w:r>
    </w:p>
    <w:p w14:paraId="3DDC2927" w14:textId="77777777" w:rsidR="00EC0446" w:rsidRPr="00570129" w:rsidRDefault="00EC0446" w:rsidP="00953CEC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before="120" w:after="240" w:line="276" w:lineRule="auto"/>
        <w:jc w:val="both"/>
        <w:rPr>
          <w:rFonts w:eastAsia="Google Sans Text"/>
          <w:color w:val="1F1F1F"/>
        </w:rPr>
      </w:pPr>
      <w:r w:rsidRPr="00570129">
        <w:rPr>
          <w:rFonts w:eastAsia="Google Sans Text"/>
          <w:b/>
          <w:bCs/>
          <w:color w:val="1F1F1F"/>
        </w:rPr>
        <w:t>Clasificación semántica:</w:t>
      </w:r>
      <w:r w:rsidRPr="00570129">
        <w:rPr>
          <w:rFonts w:eastAsia="Google Sans Text"/>
          <w:color w:val="1F1F1F"/>
        </w:rPr>
        <w:t xml:space="preserve"> El sistema distingue entre </w:t>
      </w:r>
      <w:r w:rsidRPr="00570129">
        <w:rPr>
          <w:rFonts w:eastAsia="Google Sans Text"/>
          <w:b/>
          <w:bCs/>
          <w:color w:val="1F1F1F"/>
        </w:rPr>
        <w:t>Dimensiones</w:t>
      </w:r>
      <w:r w:rsidRPr="00570129">
        <w:rPr>
          <w:rFonts w:eastAsia="Google Sans Text"/>
          <w:color w:val="1F1F1F"/>
        </w:rPr>
        <w:t xml:space="preserve"> (qué estamos midiendo: productos, regiones, fechas) y </w:t>
      </w:r>
      <w:r w:rsidRPr="00570129">
        <w:rPr>
          <w:rFonts w:eastAsia="Google Sans Text"/>
          <w:b/>
          <w:bCs/>
          <w:color w:val="1F1F1F"/>
        </w:rPr>
        <w:t>Métricas</w:t>
      </w:r>
      <w:r w:rsidRPr="00570129">
        <w:rPr>
          <w:rFonts w:eastAsia="Google Sans Text"/>
          <w:color w:val="1F1F1F"/>
        </w:rPr>
        <w:t xml:space="preserve"> (cuánto estamos midiendo: sumas, promedios, conteos). Si esta clasificación es errónea, los gráficos no funcionarán.</w:t>
      </w:r>
    </w:p>
    <w:p w14:paraId="422382C7" w14:textId="0A9BB812" w:rsidR="00EC0446" w:rsidRPr="00570129" w:rsidRDefault="00A30E5A" w:rsidP="00953CEC">
      <w:pPr>
        <w:pBdr>
          <w:top w:val="nil"/>
          <w:left w:val="nil"/>
          <w:bottom w:val="nil"/>
          <w:right w:val="nil"/>
          <w:between w:val="nil"/>
        </w:pBdr>
        <w:spacing w:before="120" w:after="240" w:line="276" w:lineRule="auto"/>
        <w:jc w:val="both"/>
        <w:rPr>
          <w:rFonts w:eastAsia="Google Sans Text"/>
          <w:b/>
          <w:bCs/>
          <w:color w:val="1F1F1F"/>
        </w:rPr>
      </w:pPr>
      <w:r w:rsidRPr="00A30E5A">
        <w:rPr>
          <w:rFonts w:eastAsia="Google Sans Text"/>
          <w:b/>
          <w:bCs/>
          <w:color w:val="1F1F1F"/>
        </w:rPr>
        <w:t>1.</w:t>
      </w:r>
      <w:r w:rsidR="00EC0446" w:rsidRPr="00570129">
        <w:rPr>
          <w:rFonts w:eastAsia="Google Sans Text"/>
          <w:b/>
          <w:bCs/>
          <w:color w:val="1F1F1F"/>
        </w:rPr>
        <w:t>3. Construcción Visual (El Análisis)</w:t>
      </w:r>
    </w:p>
    <w:p w14:paraId="675CDC50" w14:textId="77777777" w:rsidR="00EC0446" w:rsidRPr="00570129" w:rsidRDefault="00EC0446" w:rsidP="00953CEC">
      <w:pPr>
        <w:pBdr>
          <w:top w:val="nil"/>
          <w:left w:val="nil"/>
          <w:bottom w:val="nil"/>
          <w:right w:val="nil"/>
          <w:between w:val="nil"/>
        </w:pBdr>
        <w:spacing w:before="120" w:after="240" w:line="276" w:lineRule="auto"/>
        <w:jc w:val="both"/>
        <w:rPr>
          <w:rFonts w:eastAsia="Google Sans Text"/>
          <w:color w:val="1F1F1F"/>
        </w:rPr>
      </w:pPr>
      <w:r w:rsidRPr="00570129">
        <w:rPr>
          <w:rFonts w:eastAsia="Google Sans Text"/>
          <w:color w:val="1F1F1F"/>
        </w:rPr>
        <w:t>Selección de la representación gráfica adecuada según la pregunta de negocio que se desea responder.</w:t>
      </w:r>
    </w:p>
    <w:p w14:paraId="707CE8F6" w14:textId="77777777" w:rsidR="00EC0446" w:rsidRPr="00570129" w:rsidRDefault="00EC0446" w:rsidP="00953CEC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before="120" w:after="240" w:line="276" w:lineRule="auto"/>
        <w:jc w:val="both"/>
        <w:rPr>
          <w:rFonts w:eastAsia="Google Sans Text"/>
          <w:color w:val="1F1F1F"/>
        </w:rPr>
      </w:pPr>
      <w:r w:rsidRPr="00570129">
        <w:rPr>
          <w:rFonts w:eastAsia="Google Sans Text"/>
          <w:b/>
          <w:bCs/>
          <w:color w:val="1F1F1F"/>
        </w:rPr>
        <w:t>KPIs (Indicadores Clave):</w:t>
      </w:r>
      <w:r w:rsidRPr="00570129">
        <w:rPr>
          <w:rFonts w:eastAsia="Google Sans Text"/>
          <w:color w:val="1F1F1F"/>
        </w:rPr>
        <w:t xml:space="preserve"> Tarjetas de resultados para mostrar totales o estados actuales inmediatos.</w:t>
      </w:r>
    </w:p>
    <w:p w14:paraId="030227E5" w14:textId="77777777" w:rsidR="00EC0446" w:rsidRPr="00570129" w:rsidRDefault="00EC0446" w:rsidP="00953CEC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before="120" w:after="240" w:line="276" w:lineRule="auto"/>
        <w:jc w:val="both"/>
        <w:rPr>
          <w:rFonts w:eastAsia="Google Sans Text"/>
          <w:color w:val="1F1F1F"/>
        </w:rPr>
      </w:pPr>
      <w:r w:rsidRPr="00570129">
        <w:rPr>
          <w:rFonts w:eastAsia="Google Sans Text"/>
          <w:b/>
          <w:bCs/>
          <w:color w:val="1F1F1F"/>
        </w:rPr>
        <w:t>Tendencias:</w:t>
      </w:r>
      <w:r w:rsidRPr="00570129">
        <w:rPr>
          <w:rFonts w:eastAsia="Google Sans Text"/>
          <w:color w:val="1F1F1F"/>
        </w:rPr>
        <w:t xml:space="preserve"> Gráficos de líneas o barras para observar la evolución temporal.</w:t>
      </w:r>
    </w:p>
    <w:p w14:paraId="04C13FDB" w14:textId="77777777" w:rsidR="00EC0446" w:rsidRPr="00570129" w:rsidRDefault="00EC0446" w:rsidP="00953CEC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before="120" w:after="240" w:line="276" w:lineRule="auto"/>
        <w:jc w:val="both"/>
        <w:rPr>
          <w:rFonts w:eastAsia="Google Sans Text"/>
          <w:color w:val="1F1F1F"/>
        </w:rPr>
      </w:pPr>
      <w:r w:rsidRPr="00570129">
        <w:rPr>
          <w:rFonts w:eastAsia="Google Sans Text"/>
          <w:b/>
          <w:bCs/>
          <w:color w:val="1F1F1F"/>
        </w:rPr>
        <w:t>Composición:</w:t>
      </w:r>
      <w:r w:rsidRPr="00570129">
        <w:rPr>
          <w:rFonts w:eastAsia="Google Sans Text"/>
          <w:color w:val="1F1F1F"/>
        </w:rPr>
        <w:t xml:space="preserve"> Gráficos circulares o de anillos para ver la distribución de un todo.</w:t>
      </w:r>
    </w:p>
    <w:p w14:paraId="04BB68DD" w14:textId="4C5ACBD2" w:rsidR="00EC0446" w:rsidRPr="00570129" w:rsidRDefault="00A30E5A" w:rsidP="00953CEC">
      <w:pPr>
        <w:pBdr>
          <w:top w:val="nil"/>
          <w:left w:val="nil"/>
          <w:bottom w:val="nil"/>
          <w:right w:val="nil"/>
          <w:between w:val="nil"/>
        </w:pBdr>
        <w:spacing w:before="120" w:after="240" w:line="276" w:lineRule="auto"/>
        <w:jc w:val="both"/>
        <w:rPr>
          <w:rFonts w:eastAsia="Google Sans Text"/>
          <w:b/>
          <w:bCs/>
          <w:color w:val="1F1F1F"/>
        </w:rPr>
      </w:pPr>
      <w:r w:rsidRPr="00A30E5A">
        <w:rPr>
          <w:rFonts w:eastAsia="Google Sans Text"/>
          <w:b/>
          <w:bCs/>
          <w:color w:val="1F1F1F"/>
        </w:rPr>
        <w:t>1.</w:t>
      </w:r>
      <w:r w:rsidR="00EC0446" w:rsidRPr="00570129">
        <w:rPr>
          <w:rFonts w:eastAsia="Google Sans Text"/>
          <w:b/>
          <w:bCs/>
          <w:color w:val="1F1F1F"/>
        </w:rPr>
        <w:t>4. Interactividad y Entrega (El Uso)</w:t>
      </w:r>
    </w:p>
    <w:p w14:paraId="24B2A884" w14:textId="77777777" w:rsidR="00EC0446" w:rsidRPr="00570129" w:rsidRDefault="00EC0446" w:rsidP="00953CEC">
      <w:pPr>
        <w:pBdr>
          <w:top w:val="nil"/>
          <w:left w:val="nil"/>
          <w:bottom w:val="nil"/>
          <w:right w:val="nil"/>
          <w:between w:val="nil"/>
        </w:pBdr>
        <w:spacing w:before="120" w:after="240" w:line="276" w:lineRule="auto"/>
        <w:jc w:val="both"/>
        <w:rPr>
          <w:rFonts w:eastAsia="Google Sans Text"/>
          <w:color w:val="1F1F1F"/>
        </w:rPr>
      </w:pPr>
      <w:r w:rsidRPr="00570129">
        <w:rPr>
          <w:rFonts w:eastAsia="Google Sans Text"/>
          <w:color w:val="1F1F1F"/>
        </w:rPr>
        <w:t>Transformación de un reporte estático en una herramienta de consulta dinámica.</w:t>
      </w:r>
    </w:p>
    <w:p w14:paraId="74F78A0C" w14:textId="77777777" w:rsidR="00EC0446" w:rsidRPr="00570129" w:rsidRDefault="00EC0446" w:rsidP="00953CEC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before="120" w:after="240" w:line="276" w:lineRule="auto"/>
        <w:jc w:val="both"/>
        <w:rPr>
          <w:rFonts w:eastAsia="Google Sans Text"/>
          <w:color w:val="1F1F1F"/>
        </w:rPr>
      </w:pPr>
      <w:r w:rsidRPr="00570129">
        <w:rPr>
          <w:rFonts w:eastAsia="Google Sans Text"/>
          <w:b/>
          <w:bCs/>
          <w:color w:val="1F1F1F"/>
        </w:rPr>
        <w:t>Filtrado:</w:t>
      </w:r>
      <w:r w:rsidRPr="00570129">
        <w:rPr>
          <w:rFonts w:eastAsia="Google Sans Text"/>
          <w:color w:val="1F1F1F"/>
        </w:rPr>
        <w:t xml:space="preserve"> Implementación de controles que permiten al usuario segmentar la información </w:t>
      </w:r>
      <w:r w:rsidRPr="00570129">
        <w:rPr>
          <w:rFonts w:eastAsia="Google Sans Text"/>
          <w:color w:val="1F1F1F"/>
        </w:rPr>
        <w:lastRenderedPageBreak/>
        <w:t>(por fecha, categoría o ubicación) en tiempo real.</w:t>
      </w:r>
    </w:p>
    <w:p w14:paraId="5777ED36" w14:textId="77777777" w:rsidR="00EC0446" w:rsidRPr="00570129" w:rsidRDefault="00EC0446" w:rsidP="00953CEC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before="120" w:after="240" w:line="276" w:lineRule="auto"/>
        <w:jc w:val="both"/>
        <w:rPr>
          <w:rFonts w:eastAsia="Google Sans Text"/>
          <w:color w:val="1F1F1F"/>
        </w:rPr>
      </w:pPr>
      <w:r w:rsidRPr="00570129">
        <w:rPr>
          <w:rFonts w:eastAsia="Google Sans Text"/>
          <w:b/>
          <w:bCs/>
          <w:color w:val="1F1F1F"/>
        </w:rPr>
        <w:t>Publicación:</w:t>
      </w:r>
      <w:r w:rsidRPr="00570129">
        <w:rPr>
          <w:rFonts w:eastAsia="Google Sans Text"/>
          <w:color w:val="1F1F1F"/>
        </w:rPr>
        <w:t xml:space="preserve"> Generación del acceso final para la toma de decisiones basada en los datos actualizados.</w:t>
      </w:r>
    </w:p>
    <w:p w14:paraId="245FFD32" w14:textId="5C5D13BC" w:rsidR="00EC0446" w:rsidRPr="00953CEC" w:rsidRDefault="00953CEC" w:rsidP="00953CEC">
      <w:pPr>
        <w:pStyle w:val="Prrafodelista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  <w:rPr>
          <w:rFonts w:eastAsia="Google Sans Text"/>
          <w:b/>
          <w:bCs/>
          <w:color w:val="1F1F1F"/>
        </w:rPr>
      </w:pPr>
      <w:r w:rsidRPr="00953CEC">
        <w:rPr>
          <w:rFonts w:eastAsia="Google Sans Text"/>
          <w:b/>
          <w:bCs/>
          <w:color w:val="1F1F1F"/>
        </w:rPr>
        <w:t>RESULTADOS</w:t>
      </w:r>
    </w:p>
    <w:p w14:paraId="36EB19EF" w14:textId="0ED07AB1" w:rsidR="00EC0446" w:rsidRPr="00A30E5A" w:rsidRDefault="00EC0446" w:rsidP="00953CEC">
      <w:p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  <w:rPr>
          <w:rFonts w:eastAsia="Google Sans Text"/>
          <w:color w:val="1F1F1F"/>
        </w:rPr>
      </w:pPr>
      <w:r w:rsidRPr="00A30E5A">
        <w:rPr>
          <w:rFonts w:eastAsia="Google Sans Text"/>
          <w:color w:val="1F1F1F"/>
        </w:rPr>
        <w:t>Como resultado de este proceso se genero el dashboard que se describe a partir de 4 páginas que están asociadas a diferentes temáticas:</w:t>
      </w:r>
    </w:p>
    <w:p w14:paraId="78C0A363" w14:textId="3210192E" w:rsidR="00EC0446" w:rsidRPr="00A30E5A" w:rsidRDefault="00EC0446" w:rsidP="00953CEC">
      <w:pPr>
        <w:pStyle w:val="Prrafodelista"/>
        <w:numPr>
          <w:ilvl w:val="1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  <w:rPr>
          <w:rFonts w:eastAsia="Google Sans Text"/>
          <w:b/>
          <w:bCs/>
          <w:color w:val="1F1F1F"/>
        </w:rPr>
      </w:pPr>
      <w:r w:rsidRPr="00A30E5A">
        <w:rPr>
          <w:rFonts w:eastAsia="Google Sans Text"/>
          <w:b/>
          <w:bCs/>
          <w:color w:val="1F1F1F"/>
        </w:rPr>
        <w:t>Generación y composición de residuos ordinarios</w:t>
      </w:r>
    </w:p>
    <w:p w14:paraId="42DD4EA0" w14:textId="77777777" w:rsidR="00EC0446" w:rsidRPr="00A30E5A" w:rsidRDefault="00EC0446" w:rsidP="00953CEC">
      <w:pPr>
        <w:keepNext/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</w:pPr>
      <w:r w:rsidRPr="00A30E5A">
        <w:rPr>
          <w:noProof/>
        </w:rPr>
        <w:drawing>
          <wp:inline distT="0" distB="0" distL="0" distR="0" wp14:anchorId="196B65C8" wp14:editId="38C0A534">
            <wp:extent cx="5943600" cy="4376420"/>
            <wp:effectExtent l="0" t="0" r="0" b="508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7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7EE72" w14:textId="1716B7E2" w:rsidR="00EC0446" w:rsidRPr="00A30E5A" w:rsidRDefault="00EC0446" w:rsidP="00953CEC">
      <w:pPr>
        <w:pStyle w:val="Descripcin"/>
        <w:spacing w:line="276" w:lineRule="auto"/>
        <w:jc w:val="both"/>
        <w:rPr>
          <w:rFonts w:eastAsia="Google Sans Text"/>
          <w:color w:val="1F1F1F"/>
        </w:rPr>
      </w:pPr>
      <w:r w:rsidRPr="00A30E5A">
        <w:t xml:space="preserve">Ilustración </w:t>
      </w:r>
      <w:r w:rsidRPr="00A30E5A">
        <w:fldChar w:fldCharType="begin"/>
      </w:r>
      <w:r w:rsidRPr="00A30E5A">
        <w:instrText xml:space="preserve"> SEQ Ilustración \* ARABIC </w:instrText>
      </w:r>
      <w:r w:rsidRPr="00A30E5A">
        <w:fldChar w:fldCharType="separate"/>
      </w:r>
      <w:r w:rsidR="00350CE2" w:rsidRPr="00A30E5A">
        <w:rPr>
          <w:noProof/>
        </w:rPr>
        <w:t>2</w:t>
      </w:r>
      <w:r w:rsidRPr="00A30E5A">
        <w:fldChar w:fldCharType="end"/>
      </w:r>
      <w:r w:rsidRPr="00A30E5A">
        <w:t xml:space="preserve"> 1.</w:t>
      </w:r>
      <w:r w:rsidRPr="00A30E5A">
        <w:tab/>
        <w:t>Generación y composición de residuos ordinarios</w:t>
      </w:r>
    </w:p>
    <w:p w14:paraId="57F40E9B" w14:textId="77777777" w:rsidR="00350CE2" w:rsidRPr="00A30E5A" w:rsidRDefault="00350CE2" w:rsidP="00953CEC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both"/>
        <w:rPr>
          <w:rFonts w:eastAsia="Google Sans Text"/>
          <w:color w:val="1F1F1F"/>
        </w:rPr>
      </w:pPr>
      <w:r w:rsidRPr="00A30E5A">
        <w:rPr>
          <w:rFonts w:eastAsia="Google Sans Text"/>
          <w:color w:val="1F1F1F"/>
        </w:rPr>
        <w:t>El análisis de la matriz a través del dashboard revela puntos críticos que requieren intervención inmediata:</w:t>
      </w:r>
    </w:p>
    <w:p w14:paraId="48E12EA5" w14:textId="5971CC23" w:rsidR="00350CE2" w:rsidRPr="00A30E5A" w:rsidRDefault="00350CE2" w:rsidP="00953CE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</w:pPr>
      <w:r w:rsidRPr="00A30E5A">
        <w:rPr>
          <w:rFonts w:eastAsia="Google Sans Text"/>
          <w:color w:val="1F1F1F"/>
        </w:rPr>
        <w:t>Desequilibrio Territorial: Se evidencia una asimetría drástica. Pereira domina la generación con más de 207.000 toneladas/año, mientras municipios como Balboa generan volúmenes menores. Esto exige una gerencia diferenciada: soluciones metropolitanas vs. esquemas rurales.</w:t>
      </w:r>
      <w:r w:rsidRPr="00A30E5A">
        <w:rPr>
          <w:color w:val="000000"/>
        </w:rPr>
        <w:br/>
      </w:r>
    </w:p>
    <w:p w14:paraId="1492C23B" w14:textId="1AE943DE" w:rsidR="00350CE2" w:rsidRPr="00A30E5A" w:rsidRDefault="00350CE2" w:rsidP="00953CE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</w:pPr>
      <w:r w:rsidRPr="00A30E5A">
        <w:rPr>
          <w:rFonts w:eastAsia="Google Sans Text"/>
          <w:color w:val="1F1F1F"/>
        </w:rPr>
        <w:t>Potencial Económico Enterrado: Los datos muestran que municipios como Quinchía (81,31%) y Santa Rosa de Cabal (79,21%) tienen porcentajes altísimos de residuos orgánicos. Sin embargo, el aprovechamiento es insuficiente. El dashboard transforma este dato en una oportunidad de inversión visible para plantas de compostaje.</w:t>
      </w:r>
    </w:p>
    <w:p w14:paraId="45EE421F" w14:textId="77777777" w:rsidR="00A30E5A" w:rsidRPr="00A30E5A" w:rsidRDefault="00A30E5A" w:rsidP="00953C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65"/>
        <w:jc w:val="both"/>
      </w:pPr>
    </w:p>
    <w:p w14:paraId="762F11D0" w14:textId="51C558B7" w:rsidR="00A30E5A" w:rsidRPr="00A30E5A" w:rsidRDefault="00A30E5A" w:rsidP="00953CE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</w:pPr>
      <w:r w:rsidRPr="00A30E5A">
        <w:rPr>
          <w:rFonts w:eastAsia="Google Sans Text"/>
          <w:color w:val="1F1F1F"/>
        </w:rPr>
        <w:t xml:space="preserve">Gestión de Alertas Tempranas: La herramienta visualiza riesgos críticos, como la vida útil restante de los sitios de disposición final. Al evidenciar que el Relleno Sanitario La Glorita (receptor de la mayoría de </w:t>
      </w:r>
      <w:r w:rsidR="00797E01" w:rsidRPr="00A30E5A">
        <w:rPr>
          <w:rFonts w:eastAsia="Google Sans Text"/>
          <w:color w:val="1F1F1F"/>
        </w:rPr>
        <w:t>los municipios</w:t>
      </w:r>
      <w:r w:rsidRPr="00A30E5A">
        <w:rPr>
          <w:rFonts w:eastAsia="Google Sans Text"/>
          <w:color w:val="1F1F1F"/>
        </w:rPr>
        <w:t xml:space="preserve"> como Pereira, Dosquebradas y La Virginia) tiene una vida útil reportada crítica de pocos años, el dashboard eleva una alerta gerencial prioritaria que obliga a acelerar las políticas de reducción de residuos.</w:t>
      </w:r>
      <w:r w:rsidRPr="00A30E5A">
        <w:rPr>
          <w:color w:val="000000"/>
        </w:rPr>
        <w:br/>
      </w:r>
    </w:p>
    <w:p w14:paraId="06CB625C" w14:textId="77777777" w:rsidR="00A30E5A" w:rsidRPr="00A30E5A" w:rsidRDefault="00A30E5A" w:rsidP="00953CE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both"/>
      </w:pPr>
      <w:r w:rsidRPr="00A30E5A">
        <w:rPr>
          <w:rFonts w:eastAsia="Google Sans Text"/>
          <w:color w:val="1F1F1F"/>
        </w:rPr>
        <w:t>Fiscalización de Recursos: Al monitorear las toneladas aprovechadas frente a las generadas, la administración puede validar si los subsidios y tarifas de aprovechamiento cobrados a los usuarios corresponden a la realidad operativa reportada.</w:t>
      </w:r>
    </w:p>
    <w:p w14:paraId="6D768090" w14:textId="77777777" w:rsidR="00A30E5A" w:rsidRPr="00A30E5A" w:rsidRDefault="00A30E5A" w:rsidP="00953C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05"/>
        <w:jc w:val="both"/>
      </w:pPr>
    </w:p>
    <w:p w14:paraId="424ED41D" w14:textId="77777777" w:rsidR="00350CE2" w:rsidRPr="00A30E5A" w:rsidRDefault="00350CE2" w:rsidP="00953C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</w:rPr>
      </w:pPr>
    </w:p>
    <w:p w14:paraId="6DE3BEE3" w14:textId="010067F3" w:rsidR="00350CE2" w:rsidRPr="00A30E5A" w:rsidRDefault="00350CE2" w:rsidP="00953CEC">
      <w:pPr>
        <w:pStyle w:val="Prrafodelista"/>
        <w:numPr>
          <w:ilvl w:val="1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</w:rPr>
      </w:pPr>
      <w:r w:rsidRPr="00A30E5A">
        <w:rPr>
          <w:b/>
          <w:bCs/>
          <w:color w:val="000000"/>
        </w:rPr>
        <w:t>Prestación del servicio público de aseo</w:t>
      </w:r>
    </w:p>
    <w:p w14:paraId="58411391" w14:textId="77777777" w:rsidR="00350CE2" w:rsidRPr="00A30E5A" w:rsidRDefault="00350CE2" w:rsidP="00953CEC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b/>
          <w:bCs/>
          <w:color w:val="000000"/>
        </w:rPr>
      </w:pPr>
    </w:p>
    <w:p w14:paraId="28574EBE" w14:textId="77777777" w:rsidR="00350CE2" w:rsidRPr="00A30E5A" w:rsidRDefault="00350CE2" w:rsidP="00953CEC">
      <w:pPr>
        <w:pStyle w:val="Prrafodelista"/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</w:pPr>
      <w:r w:rsidRPr="00A30E5A">
        <w:rPr>
          <w:noProof/>
        </w:rPr>
        <w:drawing>
          <wp:inline distT="0" distB="0" distL="0" distR="0" wp14:anchorId="0012957B" wp14:editId="6EB9483F">
            <wp:extent cx="5943600" cy="385508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5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A8414" w14:textId="620FE6BB" w:rsidR="00350CE2" w:rsidRPr="00A30E5A" w:rsidRDefault="00350CE2" w:rsidP="00953CEC">
      <w:pPr>
        <w:pStyle w:val="Descripcin"/>
        <w:spacing w:line="276" w:lineRule="auto"/>
        <w:jc w:val="both"/>
        <w:rPr>
          <w:color w:val="000000"/>
        </w:rPr>
      </w:pPr>
      <w:r w:rsidRPr="00A30E5A">
        <w:t xml:space="preserve">Ilustración </w:t>
      </w:r>
      <w:r w:rsidRPr="00A30E5A">
        <w:fldChar w:fldCharType="begin"/>
      </w:r>
      <w:r w:rsidRPr="00A30E5A">
        <w:instrText xml:space="preserve"> SEQ Ilustración \* ARABIC </w:instrText>
      </w:r>
      <w:r w:rsidRPr="00A30E5A">
        <w:fldChar w:fldCharType="separate"/>
      </w:r>
      <w:r w:rsidRPr="00A30E5A">
        <w:rPr>
          <w:noProof/>
        </w:rPr>
        <w:t>3</w:t>
      </w:r>
      <w:r w:rsidRPr="00A30E5A">
        <w:fldChar w:fldCharType="end"/>
      </w:r>
      <w:r w:rsidRPr="00A30E5A">
        <w:t xml:space="preserve"> 2.</w:t>
      </w:r>
      <w:r w:rsidRPr="00A30E5A">
        <w:tab/>
        <w:t>Prestación del servicio público de aseo</w:t>
      </w:r>
    </w:p>
    <w:p w14:paraId="5447A1B4" w14:textId="77777777" w:rsidR="00350CE2" w:rsidRPr="00A30E5A" w:rsidRDefault="00350CE2" w:rsidP="00953CEC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both"/>
        <w:rPr>
          <w:rFonts w:eastAsia="Google Sans Text"/>
          <w:color w:val="1F1F1F"/>
        </w:rPr>
      </w:pPr>
      <w:r w:rsidRPr="00A30E5A">
        <w:rPr>
          <w:rFonts w:eastAsia="Google Sans Text"/>
          <w:color w:val="1F1F1F"/>
        </w:rPr>
        <w:t>La herramienta se convierte en el eje del cumplimiento normativo del Plan de Gestión Integral de Residuos Sólidos (PGIRS):</w:t>
      </w:r>
    </w:p>
    <w:p w14:paraId="5B136522" w14:textId="77777777" w:rsidR="00350CE2" w:rsidRPr="00A30E5A" w:rsidRDefault="00350CE2" w:rsidP="00953CE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</w:pPr>
      <w:r w:rsidRPr="00A30E5A">
        <w:rPr>
          <w:rFonts w:eastAsia="Google Sans Text"/>
          <w:color w:val="1F1F1F"/>
        </w:rPr>
        <w:lastRenderedPageBreak/>
        <w:t>Trazabilidad Geográfica: Al visualizar las distancias de transporte (ej. 98 km desde Guática al sitio de disposición), la gerencia puede evaluar la eficiencia logística y financiera del servicio, justificando la creación de estaciones de transferencia para reducir costos.</w:t>
      </w:r>
      <w:r w:rsidRPr="00A30E5A">
        <w:rPr>
          <w:color w:val="000000"/>
        </w:rPr>
        <w:br/>
      </w:r>
    </w:p>
    <w:p w14:paraId="20F4EA5F" w14:textId="121BB507" w:rsidR="00350CE2" w:rsidRPr="00A30E5A" w:rsidRDefault="00350CE2" w:rsidP="00953C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</w:rPr>
      </w:pPr>
      <w:r w:rsidRPr="00A30E5A">
        <w:rPr>
          <w:rFonts w:eastAsia="Google Sans Text"/>
          <w:color w:val="1F1F1F"/>
        </w:rPr>
        <w:t>Formalización del Reciclaje: El dashboard permite hacer seguimiento a la inclusión de recicladores. Identifica municipios donde operan organizaciones formales (como en Dosquebradas y La Celia) frente a aquellos donde la actividad sigue siendo totalmente informal.</w:t>
      </w:r>
    </w:p>
    <w:p w14:paraId="734AA6D4" w14:textId="77777777" w:rsidR="00350CE2" w:rsidRPr="00A30E5A" w:rsidRDefault="00350CE2" w:rsidP="00953C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</w:rPr>
      </w:pPr>
    </w:p>
    <w:p w14:paraId="1C005A3F" w14:textId="3B1980A1" w:rsidR="00350CE2" w:rsidRPr="00A30E5A" w:rsidRDefault="00350CE2" w:rsidP="00953C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</w:rPr>
      </w:pPr>
      <w:r w:rsidRPr="00A30E5A">
        <w:rPr>
          <w:rFonts w:eastAsia="Google Sans Text"/>
          <w:color w:val="1F1F1F"/>
        </w:rPr>
        <w:t>Monitoreo de Vida Útil: La dependencia del Relleno Sanitario La Glorita es casi total para municipios como Pereira, Dosquebradas, La Virginia y Santa Rosa de Cabal. Los datos registran una vida útil restante estimada preocupante (cifras de 2 a 3 años reportadas en la matriz). El dashboard permite proyectar visualmente el "Día Cero" de la capacidad de disposición, forzando la aceleración de metas de aprovechamiento.</w:t>
      </w:r>
      <w:r w:rsidRPr="00A30E5A">
        <w:rPr>
          <w:rFonts w:eastAsia="Google Sans Text"/>
          <w:color w:val="1F1F1F"/>
        </w:rPr>
        <w:br/>
      </w:r>
    </w:p>
    <w:p w14:paraId="01C73DB9" w14:textId="2AC0D6DC" w:rsidR="00350CE2" w:rsidRPr="00A30E5A" w:rsidRDefault="00350CE2" w:rsidP="00953CE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</w:pPr>
      <w:r w:rsidRPr="00A30E5A">
        <w:rPr>
          <w:color w:val="000000"/>
        </w:rPr>
        <w:br/>
      </w:r>
      <w:r w:rsidR="00A30E5A" w:rsidRPr="00A30E5A">
        <w:t xml:space="preserve">2. </w:t>
      </w:r>
      <w:r w:rsidRPr="00A30E5A">
        <w:t xml:space="preserve">3. </w:t>
      </w:r>
      <w:r w:rsidRPr="00A30E5A">
        <w:rPr>
          <w:b/>
          <w:bCs/>
        </w:rPr>
        <w:t>Aprovechamiento de residuos ordinarios</w:t>
      </w:r>
    </w:p>
    <w:p w14:paraId="0329B378" w14:textId="77777777" w:rsidR="00350CE2" w:rsidRPr="00A30E5A" w:rsidRDefault="00350CE2" w:rsidP="00953CEC">
      <w:pPr>
        <w:keepNext/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</w:pPr>
      <w:r w:rsidRPr="00A30E5A">
        <w:rPr>
          <w:noProof/>
        </w:rPr>
        <w:drawing>
          <wp:inline distT="0" distB="0" distL="0" distR="0" wp14:anchorId="0591C610" wp14:editId="107FB47C">
            <wp:extent cx="5943600" cy="4361180"/>
            <wp:effectExtent l="0" t="0" r="0" b="127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6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B8AD2" w14:textId="7F65DCA1" w:rsidR="00350CE2" w:rsidRPr="00A30E5A" w:rsidRDefault="00350CE2" w:rsidP="00953CEC">
      <w:pPr>
        <w:pStyle w:val="Descripcin"/>
        <w:spacing w:line="276" w:lineRule="auto"/>
        <w:jc w:val="both"/>
        <w:rPr>
          <w:rFonts w:eastAsia="Google Sans Text"/>
          <w:b/>
          <w:bCs/>
          <w:color w:val="1F1F1F"/>
        </w:rPr>
      </w:pPr>
      <w:r w:rsidRPr="00A30E5A">
        <w:t xml:space="preserve">Ilustración </w:t>
      </w:r>
      <w:r w:rsidRPr="00A30E5A">
        <w:fldChar w:fldCharType="begin"/>
      </w:r>
      <w:r w:rsidRPr="00A30E5A">
        <w:instrText xml:space="preserve"> SEQ Ilustración \* ARABIC </w:instrText>
      </w:r>
      <w:r w:rsidRPr="00A30E5A">
        <w:fldChar w:fldCharType="separate"/>
      </w:r>
      <w:r w:rsidRPr="00A30E5A">
        <w:rPr>
          <w:noProof/>
        </w:rPr>
        <w:t>4</w:t>
      </w:r>
      <w:r w:rsidRPr="00A30E5A">
        <w:fldChar w:fldCharType="end"/>
      </w:r>
      <w:r w:rsidRPr="00A30E5A">
        <w:t xml:space="preserve"> Aprovechamiento de residuos ordinarios</w:t>
      </w:r>
    </w:p>
    <w:p w14:paraId="55AF1F87" w14:textId="0E6EC9F2" w:rsidR="00350CE2" w:rsidRPr="00A30E5A" w:rsidRDefault="00A30E5A" w:rsidP="00953CEC">
      <w:p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  <w:rPr>
          <w:rFonts w:eastAsia="Google Sans Text"/>
          <w:color w:val="1F1F1F"/>
        </w:rPr>
      </w:pPr>
      <w:r w:rsidRPr="00A30E5A">
        <w:rPr>
          <w:rFonts w:eastAsia="Google Sans Text"/>
          <w:color w:val="1F1F1F"/>
        </w:rPr>
        <w:t xml:space="preserve">La herramienta muestra las siguientes temáticas y los siguientes </w:t>
      </w:r>
      <w:r w:rsidR="00953CEC" w:rsidRPr="00A30E5A">
        <w:rPr>
          <w:rFonts w:eastAsia="Google Sans Text"/>
          <w:color w:val="1F1F1F"/>
        </w:rPr>
        <w:t>análisis</w:t>
      </w:r>
    </w:p>
    <w:p w14:paraId="53CE3E3A" w14:textId="3FE566EF" w:rsidR="00A30E5A" w:rsidRPr="00A30E5A" w:rsidRDefault="00A30E5A" w:rsidP="00953CEC">
      <w:p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  <w:rPr>
          <w:rFonts w:eastAsia="Google Sans Text"/>
          <w:color w:val="1F1F1F"/>
        </w:rPr>
      </w:pPr>
      <w:r w:rsidRPr="00A30E5A">
        <w:rPr>
          <w:rFonts w:eastAsia="Google Sans Text"/>
          <w:color w:val="1F1F1F"/>
        </w:rPr>
        <w:lastRenderedPageBreak/>
        <w:t>Formalización del Reciclaje: La herramienta rastrea la actividad de las Estaciones de Clasificación y Aprovechamiento (ECA). Se evidencia que, aunque existen rutas selectivas en municipios como Dosquebradas y Pereira con múltiples prestadores (ATESA, Aseo Plus, organizaciones de recicladores), la cobertura efectiva de rutas selectivas varía drásticamente (del 0% en La Virginia al 100% en otros). Esto facilita la auditoría de las tarifas de aprovechamiento cobradas a los usuarios.</w:t>
      </w:r>
    </w:p>
    <w:p w14:paraId="4AE65E69" w14:textId="3FD9BAF6" w:rsidR="00350CE2" w:rsidRPr="00A30E5A" w:rsidRDefault="00350CE2" w:rsidP="00953CEC">
      <w:pPr>
        <w:pStyle w:val="Prrafodelista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  <w:rPr>
          <w:b/>
          <w:bCs/>
        </w:rPr>
      </w:pPr>
      <w:r w:rsidRPr="00A30E5A">
        <w:rPr>
          <w:b/>
          <w:bCs/>
        </w:rPr>
        <w:t xml:space="preserve">Generación y manejo de </w:t>
      </w:r>
      <w:r w:rsidRPr="00A30E5A">
        <w:rPr>
          <w:b/>
          <w:bCs/>
        </w:rPr>
        <w:t>residuos de construcción y demolición (RCD).</w:t>
      </w:r>
    </w:p>
    <w:p w14:paraId="39137E87" w14:textId="77777777" w:rsidR="00350CE2" w:rsidRPr="00A30E5A" w:rsidRDefault="00350CE2" w:rsidP="00953CEC">
      <w:pPr>
        <w:keepNext/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</w:pPr>
      <w:r w:rsidRPr="00A30E5A">
        <w:rPr>
          <w:noProof/>
        </w:rPr>
        <w:drawing>
          <wp:inline distT="0" distB="0" distL="0" distR="0" wp14:anchorId="7CA42CE4" wp14:editId="6D94B53E">
            <wp:extent cx="5943600" cy="440245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0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D4375" w14:textId="69519092" w:rsidR="00350CE2" w:rsidRPr="00A30E5A" w:rsidRDefault="00350CE2" w:rsidP="00953CEC">
      <w:pPr>
        <w:pStyle w:val="Descripcin"/>
        <w:spacing w:line="276" w:lineRule="auto"/>
        <w:jc w:val="both"/>
        <w:rPr>
          <w:b/>
          <w:bCs/>
        </w:rPr>
      </w:pPr>
      <w:r w:rsidRPr="00A30E5A">
        <w:t xml:space="preserve">Ilustración </w:t>
      </w:r>
      <w:r w:rsidRPr="00A30E5A">
        <w:fldChar w:fldCharType="begin"/>
      </w:r>
      <w:r w:rsidRPr="00A30E5A">
        <w:instrText xml:space="preserve"> SEQ Ilustración \* ARABIC </w:instrText>
      </w:r>
      <w:r w:rsidRPr="00A30E5A">
        <w:fldChar w:fldCharType="separate"/>
      </w:r>
      <w:r w:rsidRPr="00A30E5A">
        <w:rPr>
          <w:noProof/>
        </w:rPr>
        <w:t>5</w:t>
      </w:r>
      <w:r w:rsidRPr="00A30E5A">
        <w:fldChar w:fldCharType="end"/>
      </w:r>
      <w:r w:rsidRPr="00A30E5A">
        <w:t xml:space="preserve"> Generación y manejo de residuos de construcción y demolición (RCD).</w:t>
      </w:r>
    </w:p>
    <w:p w14:paraId="39D8631D" w14:textId="1006BEB8" w:rsidR="00350CE2" w:rsidRPr="00A30E5A" w:rsidRDefault="00A30E5A" w:rsidP="00953CEC">
      <w:p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  <w:rPr>
          <w:rFonts w:eastAsia="Google Sans Text"/>
          <w:color w:val="1F1F1F"/>
        </w:rPr>
      </w:pPr>
      <w:r>
        <w:rPr>
          <w:rFonts w:eastAsia="Google Sans Text"/>
          <w:color w:val="1F1F1F"/>
        </w:rPr>
        <w:t xml:space="preserve">Para el caso de </w:t>
      </w:r>
      <w:r>
        <w:t>la g</w:t>
      </w:r>
      <w:r w:rsidRPr="00A30E5A">
        <w:t>eneración y manejo de residuos de construcción y demolición (RCD)</w:t>
      </w:r>
      <w:r>
        <w:t>, se identificas los siguientes análisis, entre otros:</w:t>
      </w:r>
    </w:p>
    <w:p w14:paraId="7AD35E89" w14:textId="4B4605FB" w:rsidR="00EC0446" w:rsidRPr="00A30E5A" w:rsidRDefault="00350CE2" w:rsidP="00953CEC">
      <w:pPr>
        <w:pStyle w:val="Prrafodelista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jc w:val="both"/>
        <w:rPr>
          <w:rFonts w:eastAsia="Google Sans Text"/>
          <w:color w:val="1F1F1F"/>
        </w:rPr>
      </w:pPr>
      <w:r w:rsidRPr="00A30E5A">
        <w:rPr>
          <w:rFonts w:eastAsia="Google Sans Text"/>
          <w:color w:val="1F1F1F"/>
        </w:rPr>
        <w:t xml:space="preserve">Crisis Latente en RCD: Con una generación reportada de 255.887 toneladas/año de RCD, el dashboard expone una falla estructural: la mayoría de </w:t>
      </w:r>
      <w:r w:rsidR="00A30E5A" w:rsidRPr="00A30E5A">
        <w:rPr>
          <w:rFonts w:eastAsia="Google Sans Text"/>
          <w:color w:val="1F1F1F"/>
        </w:rPr>
        <w:t>los municipios</w:t>
      </w:r>
      <w:r w:rsidRPr="00A30E5A">
        <w:rPr>
          <w:rFonts w:eastAsia="Google Sans Text"/>
          <w:color w:val="1F1F1F"/>
        </w:rPr>
        <w:t xml:space="preserve"> reportan 0% de aprovechamiento. Más grave aún, municipios como Apía y Santuario indican explícitamente "No tienen" escombreras, y Balboa reporta "sitios identificados sin autorización".</w:t>
      </w:r>
    </w:p>
    <w:p w14:paraId="3EB90696" w14:textId="009D951B" w:rsidR="00A30E5A" w:rsidRPr="00B54145" w:rsidRDefault="00A30E5A" w:rsidP="00953CEC">
      <w:pPr>
        <w:pStyle w:val="Prrafodelista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120" w:after="240" w:line="276" w:lineRule="auto"/>
        <w:jc w:val="both"/>
        <w:rPr>
          <w:rFonts w:eastAsia="Google Sans Text"/>
          <w:color w:val="1F1F1F"/>
        </w:rPr>
      </w:pPr>
      <w:r w:rsidRPr="00B54145">
        <w:rPr>
          <w:rFonts w:eastAsia="Google Sans Text"/>
          <w:color w:val="1F1F1F"/>
        </w:rPr>
        <w:t xml:space="preserve">Alerta Roja en RCD (Residuos de Construcción y Demolición): Se reporta una generación </w:t>
      </w:r>
      <w:r w:rsidRPr="00B54145">
        <w:rPr>
          <w:rFonts w:eastAsia="Google Sans Text"/>
          <w:color w:val="1F1F1F"/>
        </w:rPr>
        <w:lastRenderedPageBreak/>
        <w:t xml:space="preserve">de 255.887 toneladas/año de RCD. El dato crítico revelado por la matriz es la insuficiencia de sitios de disposición final autorizados. Municipios como Balboa reportan "2 sitios identificados sin autorización", y otros como Apía o Santuario indican que "No tienen" escombreras. Esto visualiza un riesgo ambiental latente </w:t>
      </w:r>
      <w:r w:rsidR="00B54145">
        <w:rPr>
          <w:rFonts w:eastAsia="Google Sans Text"/>
          <w:color w:val="1F1F1F"/>
        </w:rPr>
        <w:t>en sitios de</w:t>
      </w:r>
      <w:r w:rsidRPr="00B54145">
        <w:rPr>
          <w:rFonts w:eastAsia="Google Sans Text"/>
          <w:color w:val="1F1F1F"/>
        </w:rPr>
        <w:t xml:space="preserve"> disposición legal</w:t>
      </w:r>
      <w:r w:rsidRPr="00B54145">
        <w:rPr>
          <w:rFonts w:eastAsia="Google Sans Text"/>
          <w:color w:val="1F1F1F"/>
        </w:rPr>
        <w:br/>
      </w:r>
      <w:r w:rsidRPr="00B54145">
        <w:rPr>
          <w:rFonts w:eastAsia="Google Sans Text"/>
          <w:color w:val="1F1F1F"/>
        </w:rPr>
        <w:br/>
      </w:r>
    </w:p>
    <w:sectPr w:rsidR="00A30E5A" w:rsidRPr="00B54145">
      <w:headerReference w:type="default" r:id="rId12"/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AAB571" w14:textId="77777777" w:rsidR="00080D08" w:rsidRDefault="00080D08" w:rsidP="00953CEC">
      <w:r>
        <w:separator/>
      </w:r>
    </w:p>
  </w:endnote>
  <w:endnote w:type="continuationSeparator" w:id="0">
    <w:p w14:paraId="24243CE9" w14:textId="77777777" w:rsidR="00080D08" w:rsidRDefault="00080D08" w:rsidP="00953C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oogle Sans Text">
    <w:altName w:val="Calibri"/>
    <w:charset w:val="00"/>
    <w:family w:val="auto"/>
    <w:pitch w:val="default"/>
    <w:embedRegular r:id="rId1" w:fontKey="{490E0858-8C49-4A9F-8CF2-06B435931462}"/>
    <w:embedBold r:id="rId2" w:fontKey="{F2ABBE93-B03C-4812-9220-FA725014E0D1}"/>
    <w:embedItalic r:id="rId3" w:fontKey="{AE29AD2C-6337-4918-A76D-7BDD38615D0B}"/>
    <w:embedBoldItalic r:id="rId4" w:fontKey="{5BEA1529-4B9A-44B3-B39C-894C46D2F9B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58523B2F-B18B-46B6-81A5-2EBD3AC66FC8}"/>
  </w:font>
  <w:font w:name="Google Sans">
    <w:altName w:val="Calibri"/>
    <w:charset w:val="00"/>
    <w:family w:val="auto"/>
    <w:pitch w:val="default"/>
    <w:embedBold r:id="rId6" w:fontKey="{E6707C14-EE8B-4443-BD93-BC9D2F51DD12}"/>
  </w:font>
  <w:font w:name="Montserrat-Bold">
    <w:altName w:val="Montserrat"/>
    <w:charset w:val="4D"/>
    <w:family w:val="auto"/>
    <w:pitch w:val="variable"/>
    <w:sig w:usb0="2000020F" w:usb1="00000003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0AE09274-02FF-4179-9D90-66120696613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B0B58791-6498-453B-8E7B-E55E55F6A7C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CF05A2" w14:textId="77777777" w:rsidR="00080D08" w:rsidRDefault="00080D08" w:rsidP="00953CEC">
      <w:r>
        <w:separator/>
      </w:r>
    </w:p>
  </w:footnote>
  <w:footnote w:type="continuationSeparator" w:id="0">
    <w:p w14:paraId="11A6224B" w14:textId="77777777" w:rsidR="00080D08" w:rsidRDefault="00080D08" w:rsidP="00953CE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379234" w14:textId="3925C8D8" w:rsidR="00953CEC" w:rsidRDefault="00953CEC">
    <w:pPr>
      <w:pStyle w:val="Encabezado"/>
    </w:pPr>
    <w:r w:rsidRPr="00801C20">
      <w:rPr>
        <w:rFonts w:ascii="Montserrat-Bold" w:hAnsi="Montserrat-Bold" w:cs="Montserrat-Bold"/>
        <w:b/>
        <w:noProof/>
        <w:color w:val="004F00"/>
        <w:sz w:val="45"/>
        <w:szCs w:val="45"/>
      </w:rPr>
      <w:drawing>
        <wp:anchor distT="0" distB="0" distL="114300" distR="114300" simplePos="0" relativeHeight="251658240" behindDoc="0" locked="0" layoutInCell="1" allowOverlap="1" wp14:anchorId="208274FE" wp14:editId="0C5608CA">
          <wp:simplePos x="0" y="0"/>
          <wp:positionH relativeFrom="column">
            <wp:posOffset>4448175</wp:posOffset>
          </wp:positionH>
          <wp:positionV relativeFrom="paragraph">
            <wp:posOffset>161925</wp:posOffset>
          </wp:positionV>
          <wp:extent cx="1476375" cy="647700"/>
          <wp:effectExtent l="0" t="0" r="9525" b="0"/>
          <wp:wrapNone/>
          <wp:docPr id="6" name="Imagen 6" descr="Un dibujo animado con letras&#10;&#10;Descripción generada automáticamente con confianza baj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Un dibujo animado con letras&#10;&#10;Descripción generada automáticamente con confianza baj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637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rect id="_x0000_i1131" style="width:0;height:1.5pt" o:hralign="center" o:bullet="t" o:hrstd="t" o:hr="t" fillcolor="#a0a0a0" stroked="f"/>
    </w:pict>
  </w:numPicBullet>
  <w:abstractNum w:abstractNumId="0" w15:restartNumberingAfterBreak="0">
    <w:nsid w:val="0010112A"/>
    <w:multiLevelType w:val="multilevel"/>
    <w:tmpl w:val="40C8B7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27D2695"/>
    <w:multiLevelType w:val="hybridMultilevel"/>
    <w:tmpl w:val="2B5CC2F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1C004E"/>
    <w:multiLevelType w:val="hybridMultilevel"/>
    <w:tmpl w:val="7D40A3DE"/>
    <w:lvl w:ilvl="0" w:tplc="FFA4E096">
      <w:start w:val="4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2520" w:hanging="360"/>
      </w:pPr>
    </w:lvl>
    <w:lvl w:ilvl="2" w:tplc="240A001B" w:tentative="1">
      <w:start w:val="1"/>
      <w:numFmt w:val="lowerRoman"/>
      <w:lvlText w:val="%3."/>
      <w:lvlJc w:val="right"/>
      <w:pPr>
        <w:ind w:left="3240" w:hanging="180"/>
      </w:pPr>
    </w:lvl>
    <w:lvl w:ilvl="3" w:tplc="240A000F" w:tentative="1">
      <w:start w:val="1"/>
      <w:numFmt w:val="decimal"/>
      <w:lvlText w:val="%4."/>
      <w:lvlJc w:val="left"/>
      <w:pPr>
        <w:ind w:left="3960" w:hanging="360"/>
      </w:pPr>
    </w:lvl>
    <w:lvl w:ilvl="4" w:tplc="240A0019" w:tentative="1">
      <w:start w:val="1"/>
      <w:numFmt w:val="lowerLetter"/>
      <w:lvlText w:val="%5."/>
      <w:lvlJc w:val="left"/>
      <w:pPr>
        <w:ind w:left="4680" w:hanging="360"/>
      </w:pPr>
    </w:lvl>
    <w:lvl w:ilvl="5" w:tplc="240A001B" w:tentative="1">
      <w:start w:val="1"/>
      <w:numFmt w:val="lowerRoman"/>
      <w:lvlText w:val="%6."/>
      <w:lvlJc w:val="right"/>
      <w:pPr>
        <w:ind w:left="5400" w:hanging="180"/>
      </w:pPr>
    </w:lvl>
    <w:lvl w:ilvl="6" w:tplc="240A000F" w:tentative="1">
      <w:start w:val="1"/>
      <w:numFmt w:val="decimal"/>
      <w:lvlText w:val="%7."/>
      <w:lvlJc w:val="left"/>
      <w:pPr>
        <w:ind w:left="6120" w:hanging="360"/>
      </w:pPr>
    </w:lvl>
    <w:lvl w:ilvl="7" w:tplc="240A0019" w:tentative="1">
      <w:start w:val="1"/>
      <w:numFmt w:val="lowerLetter"/>
      <w:lvlText w:val="%8."/>
      <w:lvlJc w:val="left"/>
      <w:pPr>
        <w:ind w:left="6840" w:hanging="360"/>
      </w:pPr>
    </w:lvl>
    <w:lvl w:ilvl="8" w:tplc="240A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" w15:restartNumberingAfterBreak="0">
    <w:nsid w:val="0EEF0FF8"/>
    <w:multiLevelType w:val="multilevel"/>
    <w:tmpl w:val="AA5E67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D77049B"/>
    <w:multiLevelType w:val="multilevel"/>
    <w:tmpl w:val="C7A0C8E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" w15:restartNumberingAfterBreak="0">
    <w:nsid w:val="1DEC2FD2"/>
    <w:multiLevelType w:val="hybridMultilevel"/>
    <w:tmpl w:val="87DEEE62"/>
    <w:lvl w:ilvl="0" w:tplc="EFD677D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FD4839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5D0E0A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05C906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D54CFC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2BEC41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C80859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858D10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87641D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26E134BB"/>
    <w:multiLevelType w:val="multilevel"/>
    <w:tmpl w:val="4CA268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A831778"/>
    <w:multiLevelType w:val="multilevel"/>
    <w:tmpl w:val="2E6091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CFA1E79"/>
    <w:multiLevelType w:val="multilevel"/>
    <w:tmpl w:val="5E94E6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5111520"/>
    <w:multiLevelType w:val="multilevel"/>
    <w:tmpl w:val="3AF6756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40C05283"/>
    <w:multiLevelType w:val="multilevel"/>
    <w:tmpl w:val="7A4884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Google Sans Text" w:hAnsi="Google Sans Text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5552260"/>
    <w:multiLevelType w:val="multilevel"/>
    <w:tmpl w:val="0C021C6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2" w15:restartNumberingAfterBreak="0">
    <w:nsid w:val="54660871"/>
    <w:multiLevelType w:val="multilevel"/>
    <w:tmpl w:val="2056FA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D7F095D"/>
    <w:multiLevelType w:val="multilevel"/>
    <w:tmpl w:val="A63605B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4" w15:restartNumberingAfterBreak="0">
    <w:nsid w:val="5F4364CD"/>
    <w:multiLevelType w:val="hybridMultilevel"/>
    <w:tmpl w:val="8D50C81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FD236D8"/>
    <w:multiLevelType w:val="multilevel"/>
    <w:tmpl w:val="846A711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16" w15:restartNumberingAfterBreak="0">
    <w:nsid w:val="66244F7E"/>
    <w:multiLevelType w:val="multilevel"/>
    <w:tmpl w:val="BD16728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7" w15:restartNumberingAfterBreak="0">
    <w:nsid w:val="6ACF4F22"/>
    <w:multiLevelType w:val="multilevel"/>
    <w:tmpl w:val="10FE5A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F3C287E"/>
    <w:multiLevelType w:val="multilevel"/>
    <w:tmpl w:val="48CC32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3354849">
    <w:abstractNumId w:val="4"/>
  </w:num>
  <w:num w:numId="2" w16cid:durableId="2102067944">
    <w:abstractNumId w:val="16"/>
  </w:num>
  <w:num w:numId="3" w16cid:durableId="852382910">
    <w:abstractNumId w:val="11"/>
  </w:num>
  <w:num w:numId="4" w16cid:durableId="1954945241">
    <w:abstractNumId w:val="13"/>
  </w:num>
  <w:num w:numId="5" w16cid:durableId="124740638">
    <w:abstractNumId w:val="5"/>
  </w:num>
  <w:num w:numId="6" w16cid:durableId="717169711">
    <w:abstractNumId w:val="3"/>
  </w:num>
  <w:num w:numId="7" w16cid:durableId="2038843947">
    <w:abstractNumId w:val="17"/>
  </w:num>
  <w:num w:numId="8" w16cid:durableId="293676603">
    <w:abstractNumId w:val="6"/>
  </w:num>
  <w:num w:numId="9" w16cid:durableId="478807857">
    <w:abstractNumId w:val="12"/>
  </w:num>
  <w:num w:numId="10" w16cid:durableId="1976251184">
    <w:abstractNumId w:val="0"/>
  </w:num>
  <w:num w:numId="11" w16cid:durableId="425999758">
    <w:abstractNumId w:val="18"/>
  </w:num>
  <w:num w:numId="12" w16cid:durableId="2090226497">
    <w:abstractNumId w:val="7"/>
  </w:num>
  <w:num w:numId="13" w16cid:durableId="601576418">
    <w:abstractNumId w:val="8"/>
  </w:num>
  <w:num w:numId="14" w16cid:durableId="1522552585">
    <w:abstractNumId w:val="10"/>
  </w:num>
  <w:num w:numId="15" w16cid:durableId="430781593">
    <w:abstractNumId w:val="2"/>
  </w:num>
  <w:num w:numId="16" w16cid:durableId="360788446">
    <w:abstractNumId w:val="14"/>
  </w:num>
  <w:num w:numId="17" w16cid:durableId="396976234">
    <w:abstractNumId w:val="15"/>
  </w:num>
  <w:num w:numId="18" w16cid:durableId="819200202">
    <w:abstractNumId w:val="9"/>
  </w:num>
  <w:num w:numId="19" w16cid:durableId="4068051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33E3"/>
    <w:rsid w:val="00080D08"/>
    <w:rsid w:val="00350CE2"/>
    <w:rsid w:val="003533E3"/>
    <w:rsid w:val="003F37AD"/>
    <w:rsid w:val="00570129"/>
    <w:rsid w:val="00642387"/>
    <w:rsid w:val="00797E01"/>
    <w:rsid w:val="00953CEC"/>
    <w:rsid w:val="00A30E5A"/>
    <w:rsid w:val="00A61845"/>
    <w:rsid w:val="00B54145"/>
    <w:rsid w:val="00D512CF"/>
    <w:rsid w:val="00EC04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3F20DA"/>
  <w15:docId w15:val="{A4488926-F4F6-4E25-9A4C-6AF8E68603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Prrafodelista">
    <w:name w:val="List Paragraph"/>
    <w:basedOn w:val="Normal"/>
    <w:uiPriority w:val="34"/>
    <w:qFormat/>
    <w:rsid w:val="003F37AD"/>
    <w:pPr>
      <w:ind w:left="720"/>
      <w:contextualSpacing/>
    </w:pPr>
  </w:style>
  <w:style w:type="paragraph" w:styleId="Descripcin">
    <w:name w:val="caption"/>
    <w:basedOn w:val="Normal"/>
    <w:next w:val="Normal"/>
    <w:uiPriority w:val="35"/>
    <w:unhideWhenUsed/>
    <w:qFormat/>
    <w:rsid w:val="00EC0446"/>
    <w:pPr>
      <w:spacing w:after="200"/>
    </w:pPr>
    <w:rPr>
      <w:i/>
      <w:iCs/>
      <w:color w:val="1F497D" w:themeColor="text2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/>
    <w:rsid w:val="00953CEC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953CEC"/>
  </w:style>
  <w:style w:type="paragraph" w:styleId="Piedepgina">
    <w:name w:val="footer"/>
    <w:basedOn w:val="Normal"/>
    <w:link w:val="PiedepginaCar"/>
    <w:uiPriority w:val="99"/>
    <w:unhideWhenUsed/>
    <w:rsid w:val="00953CEC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953CE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6080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0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1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17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8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8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7</Pages>
  <Words>1280</Words>
  <Characters>7044</Characters>
  <Application>Microsoft Office Word</Application>
  <DocSecurity>0</DocSecurity>
  <Lines>58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Proyectos Grupo ATH</cp:lastModifiedBy>
  <cp:revision>6</cp:revision>
  <dcterms:created xsi:type="dcterms:W3CDTF">2025-12-10T18:49:00Z</dcterms:created>
  <dcterms:modified xsi:type="dcterms:W3CDTF">2025-12-10T19:58:00Z</dcterms:modified>
</cp:coreProperties>
</file>